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4D" w:rsidRDefault="00437F4D" w:rsidP="00283965">
      <w:pPr>
        <w:pStyle w:val="Heading1"/>
      </w:pPr>
    </w:p>
    <w:p w:rsidR="00437F4D" w:rsidRDefault="00437F4D" w:rsidP="00283965">
      <w:pPr>
        <w:pStyle w:val="Heading1"/>
      </w:pPr>
    </w:p>
    <w:p w:rsidR="00437F4D" w:rsidRPr="009428AD" w:rsidRDefault="00437F4D" w:rsidP="009428AD">
      <w:pPr>
        <w:pStyle w:val="Heading1"/>
        <w:spacing w:after="0"/>
        <w:rPr>
          <w:sz w:val="30"/>
        </w:rPr>
      </w:pPr>
    </w:p>
    <w:p w:rsidR="000B18B0" w:rsidRPr="00437F4D" w:rsidRDefault="00437F4D" w:rsidP="00283965">
      <w:pPr>
        <w:pStyle w:val="Heading1"/>
        <w:rPr>
          <w:b w:val="0"/>
          <w:sz w:val="26"/>
        </w:rPr>
      </w:pPr>
      <w:r w:rsidRPr="00437F4D">
        <w:rPr>
          <w:noProof/>
          <w:sz w:val="26"/>
          <w:lang w:eastAsia="en-CA"/>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763185" cy="1339702"/>
            <wp:effectExtent l="25400" t="0" r="9215" b="0"/>
            <wp:wrapNone/>
            <wp:docPr id="3" name="" descr="MLRC_cover2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RC_cover2_blank.png"/>
                    <pic:cNvPicPr>
                      <a:picLocks noChangeAspect="1"/>
                    </pic:cNvPicPr>
                  </pic:nvPicPr>
                  <pic:blipFill>
                    <a:blip r:embed="rId6" cstate="print"/>
                    <a:srcRect b="86668"/>
                    <a:stretch>
                      <a:fillRect/>
                    </a:stretch>
                  </pic:blipFill>
                  <pic:spPr>
                    <a:xfrm>
                      <a:off x="0" y="0"/>
                      <a:ext cx="7763185" cy="1339702"/>
                    </a:xfrm>
                    <a:prstGeom prst="rect">
                      <a:avLst/>
                    </a:prstGeom>
                  </pic:spPr>
                </pic:pic>
              </a:graphicData>
            </a:graphic>
          </wp:anchor>
        </w:drawing>
      </w:r>
      <w:r w:rsidR="000B18B0" w:rsidRPr="00437F4D">
        <w:rPr>
          <w:sz w:val="26"/>
        </w:rPr>
        <w:t>DISCUSSION PAPER</w:t>
      </w:r>
      <w:r w:rsidR="007C7F19" w:rsidRPr="00437F4D">
        <w:rPr>
          <w:sz w:val="26"/>
        </w:rPr>
        <w:t>:</w:t>
      </w:r>
      <w:r w:rsidR="000B18B0" w:rsidRPr="00437F4D">
        <w:rPr>
          <w:sz w:val="26"/>
        </w:rPr>
        <w:t xml:space="preserve"> </w:t>
      </w:r>
      <w:r w:rsidRPr="00437F4D">
        <w:rPr>
          <w:sz w:val="26"/>
        </w:rPr>
        <w:br/>
      </w:r>
      <w:r w:rsidR="000B18B0" w:rsidRPr="00437F4D">
        <w:rPr>
          <w:b w:val="0"/>
          <w:sz w:val="26"/>
        </w:rPr>
        <w:t>MANITOBA’</w:t>
      </w:r>
      <w:r w:rsidR="00283965" w:rsidRPr="00437F4D">
        <w:rPr>
          <w:b w:val="0"/>
          <w:sz w:val="26"/>
        </w:rPr>
        <w:t>S</w:t>
      </w:r>
      <w:r w:rsidR="000B18B0" w:rsidRPr="00437F4D">
        <w:rPr>
          <w:b w:val="0"/>
          <w:sz w:val="26"/>
        </w:rPr>
        <w:t xml:space="preserve"> ENVIRONMENTAL ASSESSMENT AND LICENSING REGIME </w:t>
      </w:r>
    </w:p>
    <w:p w:rsidR="000B18B0" w:rsidRPr="009428AD" w:rsidRDefault="000B18B0" w:rsidP="0078070B">
      <w:pPr>
        <w:pStyle w:val="Heading1"/>
      </w:pPr>
      <w:r w:rsidRPr="009428AD">
        <w:t>COMMENTS FORM</w:t>
      </w:r>
    </w:p>
    <w:p w:rsidR="00DA79CC" w:rsidRDefault="00073F45" w:rsidP="000B18B0">
      <w:r w:rsidRPr="00073F45">
        <w:rPr>
          <w:noProof/>
          <w:lang w:val="en-US"/>
        </w:rPr>
        <w:pict>
          <v:line id="_x0000_s1026" style="position:absolute;z-index:-251658240;mso-position-horizontal:absolute;mso-position-vertical:absolute;mso-position-vertical-relative:page" from="-57.1pt,105.25pt" to="554.9pt,105.25pt" strokecolor="#597b7b" strokeweight="3.5pt">
            <v:fill o:detectmouseclick="t"/>
            <v:shadow opacity="22938f" offset="0"/>
            <w10:wrap anchory="page"/>
            <w10:anchorlock/>
          </v:line>
        </w:pict>
      </w:r>
      <w:r w:rsidR="000B18B0">
        <w:t xml:space="preserve">Please provide your comments in the spaces below and return to </w:t>
      </w:r>
      <w:hyperlink r:id="rId7" w:history="1">
        <w:r w:rsidR="000B18B0" w:rsidRPr="003F0531">
          <w:rPr>
            <w:rStyle w:val="Hyperlink"/>
          </w:rPr>
          <w:t>mail@manitobalawreform.ca</w:t>
        </w:r>
      </w:hyperlink>
      <w:r w:rsidR="00C456D5">
        <w:t xml:space="preserve"> on </w:t>
      </w:r>
      <w:r w:rsidR="000B18B0">
        <w:t xml:space="preserve">or before </w:t>
      </w:r>
      <w:r w:rsidR="000B18B0" w:rsidRPr="000B18B0">
        <w:rPr>
          <w:b/>
        </w:rPr>
        <w:t>April 25, 2014</w:t>
      </w:r>
      <w:r w:rsidR="00DA79CC" w:rsidRPr="00DA79CC">
        <w:rPr>
          <w:i/>
        </w:rPr>
        <w:t>.</w:t>
      </w:r>
      <w:r w:rsidR="00DA79CC">
        <w:t xml:space="preserve"> </w:t>
      </w:r>
      <w:r w:rsidR="000B18B0">
        <w:t xml:space="preserve">The Manitoba Law Reform Commission assumes that written comments are </w:t>
      </w:r>
      <w:r w:rsidR="00597E6B">
        <w:br/>
      </w:r>
      <w:r w:rsidR="000B18B0">
        <w:t>not confidential. You may submit anonymous written comments, or you may identify yourself but request that your comments be treated confidentially.</w:t>
      </w:r>
      <w:r w:rsidR="00C456D5">
        <w:t xml:space="preserve"> </w:t>
      </w:r>
      <w:r w:rsidR="000B18B0">
        <w:t>If you do not comment anonymously, or request confidentiality, the Man</w:t>
      </w:r>
      <w:r w:rsidR="00C456D5">
        <w:t>itoba Law Reform Commission may </w:t>
      </w:r>
      <w:r w:rsidR="000B18B0">
        <w:t xml:space="preserve">quote from or refer to your comments </w:t>
      </w:r>
      <w:r w:rsidR="00597E6B">
        <w:br/>
      </w:r>
      <w:r w:rsidR="000B18B0">
        <w:t>in its Report for Consultation or Final Report.</w:t>
      </w:r>
      <w:r w:rsidR="00C456D5">
        <w:t xml:space="preserve"> </w:t>
      </w:r>
    </w:p>
    <w:p w:rsidR="000B18B0" w:rsidRPr="0078070B" w:rsidRDefault="00DA79CC" w:rsidP="007A1266">
      <w:pPr>
        <w:spacing w:after="0"/>
        <w:rPr>
          <w:b/>
        </w:rPr>
      </w:pPr>
      <w:r w:rsidRPr="0078070B">
        <w:rPr>
          <w:b/>
          <w:i/>
        </w:rPr>
        <w:t>You can press the “tab” key to move from one question to the next.</w:t>
      </w:r>
    </w:p>
    <w:p w:rsidR="00B676BE" w:rsidRPr="00283965" w:rsidRDefault="00283965" w:rsidP="00283965">
      <w:pPr>
        <w:pStyle w:val="Heading2"/>
      </w:pPr>
      <w:r w:rsidRPr="00283965">
        <w:t xml:space="preserve">Chapter 3: Environmental Assessment </w:t>
      </w:r>
      <w:r>
        <w:t>a</w:t>
      </w:r>
      <w:r w:rsidRPr="00283965">
        <w:t>nd Sustainable Development</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27"/>
      </w:tblGrid>
      <w:tr w:rsidR="002A3F3B" w:rsidRPr="002A3F3B">
        <w:tc>
          <w:tcPr>
            <w:tcW w:w="9927" w:type="dxa"/>
            <w:shd w:val="clear" w:color="auto" w:fill="E6E6E6"/>
          </w:tcPr>
          <w:p w:rsidR="002A3F3B" w:rsidRPr="002A3F3B" w:rsidRDefault="002A3F3B" w:rsidP="0078070B">
            <w:pPr>
              <w:keepNext/>
              <w:spacing w:before="100" w:after="100"/>
              <w:rPr>
                <w:rFonts w:cs="Times New Roman"/>
                <w:sz w:val="24"/>
                <w:szCs w:val="24"/>
              </w:rPr>
            </w:pPr>
            <w:r w:rsidRPr="002A3F3B">
              <w:rPr>
                <w:rFonts w:cs="Times New Roman"/>
                <w:b/>
                <w:sz w:val="24"/>
                <w:szCs w:val="24"/>
              </w:rPr>
              <w:t>Issue 1:</w:t>
            </w:r>
            <w:r w:rsidRPr="002A3F3B">
              <w:rPr>
                <w:rFonts w:cs="Times New Roman"/>
                <w:sz w:val="24"/>
                <w:szCs w:val="24"/>
              </w:rPr>
              <w:t xml:space="preserve"> Should </w:t>
            </w:r>
            <w:r w:rsidRPr="008C09CE">
              <w:rPr>
                <w:rFonts w:cs="Times New Roman"/>
                <w:i/>
                <w:sz w:val="24"/>
                <w:szCs w:val="24"/>
              </w:rPr>
              <w:t>The Environment Act</w:t>
            </w:r>
            <w:r w:rsidRPr="002A3F3B">
              <w:rPr>
                <w:rFonts w:cs="Times New Roman"/>
                <w:sz w:val="24"/>
                <w:szCs w:val="24"/>
              </w:rPr>
              <w:t xml:space="preserve"> be amended to establish more direct links between the environmental assessment process and principles and guideline</w:t>
            </w:r>
            <w:r w:rsidR="002F5CD0">
              <w:rPr>
                <w:rFonts w:cs="Times New Roman"/>
                <w:sz w:val="24"/>
                <w:szCs w:val="24"/>
              </w:rPr>
              <w:t xml:space="preserve">s of sustainability provided in </w:t>
            </w:r>
            <w:r w:rsidR="002F5CD0" w:rsidRPr="008C09CE">
              <w:rPr>
                <w:rFonts w:cs="Times New Roman"/>
                <w:i/>
                <w:sz w:val="24"/>
                <w:szCs w:val="24"/>
              </w:rPr>
              <w:t xml:space="preserve">The </w:t>
            </w:r>
            <w:r w:rsidRPr="008C09CE">
              <w:rPr>
                <w:rFonts w:cs="Times New Roman"/>
                <w:i/>
                <w:sz w:val="24"/>
                <w:szCs w:val="24"/>
              </w:rPr>
              <w:t>Sustainable Development Act</w:t>
            </w:r>
            <w:r w:rsidRPr="002A3F3B">
              <w:rPr>
                <w:rFonts w:cs="Times New Roman"/>
                <w:sz w:val="24"/>
                <w:szCs w:val="24"/>
              </w:rPr>
              <w:t xml:space="preserve">? Are there particular developments for which sustainability principles are most relevant? How would this change affect your participation in Manitoba’s environmental assessment process? </w:t>
            </w:r>
          </w:p>
        </w:tc>
      </w:tr>
      <w:tr w:rsidR="002A3F3B" w:rsidRPr="002A3F3B">
        <w:trPr>
          <w:trHeight w:val="1800"/>
        </w:trPr>
        <w:tc>
          <w:tcPr>
            <w:tcW w:w="9927" w:type="dxa"/>
          </w:tcPr>
          <w:p w:rsidR="002A3F3B" w:rsidRPr="002A3F3B" w:rsidRDefault="002A3F3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bookmarkStart w:id="0" w:name="Text1"/>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 w:val="24"/>
                <w:szCs w:val="24"/>
              </w:rPr>
              <w:t> </w:t>
            </w:r>
            <w:r>
              <w:rPr>
                <w:rFonts w:ascii="Lucida Grande" w:hAnsi="Lucida Grande" w:cs="Lucida Grande"/>
                <w:noProof/>
                <w:sz w:val="24"/>
                <w:szCs w:val="24"/>
              </w:rPr>
              <w:t> </w:t>
            </w:r>
            <w:r>
              <w:rPr>
                <w:rFonts w:ascii="Lucida Grande" w:hAnsi="Lucida Grande" w:cs="Lucida Grande"/>
                <w:noProof/>
                <w:sz w:val="24"/>
                <w:szCs w:val="24"/>
              </w:rPr>
              <w:t> </w:t>
            </w:r>
            <w:r>
              <w:rPr>
                <w:rFonts w:ascii="Lucida Grande" w:hAnsi="Lucida Grande" w:cs="Lucida Grande"/>
                <w:noProof/>
                <w:sz w:val="24"/>
                <w:szCs w:val="24"/>
              </w:rPr>
              <w:t> </w:t>
            </w:r>
            <w:r>
              <w:rPr>
                <w:rFonts w:ascii="Lucida Grande" w:hAnsi="Lucida Grande" w:cs="Lucida Grande"/>
                <w:noProof/>
                <w:sz w:val="24"/>
                <w:szCs w:val="24"/>
              </w:rPr>
              <w:t> </w:t>
            </w:r>
            <w:r w:rsidR="00073F45">
              <w:rPr>
                <w:rFonts w:cs="Times New Roman"/>
                <w:szCs w:val="24"/>
              </w:rPr>
              <w:fldChar w:fldCharType="end"/>
            </w:r>
            <w:bookmarkEnd w:id="0"/>
          </w:p>
        </w:tc>
      </w:tr>
    </w:tbl>
    <w:p w:rsidR="0078070B" w:rsidRDefault="0078070B" w:rsidP="0078070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78070B" w:rsidRPr="002A3F3B">
        <w:tc>
          <w:tcPr>
            <w:tcW w:w="9945" w:type="dxa"/>
            <w:shd w:val="clear" w:color="auto" w:fill="E6E6E6"/>
          </w:tcPr>
          <w:p w:rsidR="0078070B" w:rsidRPr="002A3F3B" w:rsidRDefault="0078070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2</w:t>
            </w:r>
            <w:r w:rsidRPr="002A3F3B">
              <w:rPr>
                <w:rFonts w:cs="Times New Roman"/>
                <w:b/>
                <w:sz w:val="24"/>
                <w:szCs w:val="24"/>
              </w:rPr>
              <w:t>:</w:t>
            </w:r>
            <w:r w:rsidRPr="002A3F3B">
              <w:rPr>
                <w:rFonts w:cs="Times New Roman"/>
                <w:sz w:val="24"/>
                <w:szCs w:val="24"/>
              </w:rPr>
              <w:t xml:space="preserve"> </w:t>
            </w:r>
            <w:r w:rsidRPr="0078070B">
              <w:rPr>
                <w:rFonts w:cs="Times New Roman"/>
                <w:sz w:val="24"/>
                <w:szCs w:val="24"/>
              </w:rPr>
              <w:t>Should a consideration of the need for, and alternatives to, a development (“NFAT”) be a requirement for some or all proposed developments? Are there types of development for which NFAT is more or less appropriate? What legislative and policy suppor</w:t>
            </w:r>
            <w:r w:rsidR="002F5CD0">
              <w:rPr>
                <w:rFonts w:cs="Times New Roman"/>
                <w:sz w:val="24"/>
                <w:szCs w:val="24"/>
              </w:rPr>
              <w:t xml:space="preserve">ts are necessary for meaningful </w:t>
            </w:r>
            <w:r w:rsidRPr="0078070B">
              <w:rPr>
                <w:rFonts w:cs="Times New Roman"/>
                <w:sz w:val="24"/>
                <w:szCs w:val="24"/>
              </w:rPr>
              <w:t>consideration of the need for, and alternatives to, a development?</w:t>
            </w:r>
            <w:r w:rsidRPr="002A3F3B">
              <w:rPr>
                <w:rFonts w:cs="Times New Roman"/>
                <w:sz w:val="24"/>
                <w:szCs w:val="24"/>
              </w:rPr>
              <w:t xml:space="preserve"> </w:t>
            </w:r>
          </w:p>
        </w:tc>
      </w:tr>
      <w:tr w:rsidR="0078070B" w:rsidRPr="002A3F3B">
        <w:trPr>
          <w:trHeight w:val="1800"/>
        </w:trPr>
        <w:tc>
          <w:tcPr>
            <w:tcW w:w="9945" w:type="dxa"/>
          </w:tcPr>
          <w:p w:rsidR="0078070B" w:rsidRPr="002A3F3B" w:rsidRDefault="0078070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B676BE" w:rsidRPr="00FD65ED" w:rsidRDefault="00283965" w:rsidP="00B676BE">
      <w:pPr>
        <w:pStyle w:val="Heading2"/>
      </w:pPr>
      <w:r>
        <w:lastRenderedPageBreak/>
        <w:t xml:space="preserve">Chapter 4: </w:t>
      </w:r>
      <w:r w:rsidRPr="00FD65ED">
        <w:t>Cumulative Effe</w:t>
      </w:r>
      <w:r>
        <w:t>cts and Strategic Environmental </w:t>
      </w:r>
      <w:r w:rsidRPr="00FD65ED">
        <w:t>Assessment</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3</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Should a consideration of cumulative effects be mandatory for all environmental assessments conducted in Manitoba? What legislative and policy supports are needed for meaningful cumulative environmental assessment at the individual development level?</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4</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Strategic environmental assessment is considered an effective method for considering the need for and alternatives to development, and cumulative en</w:t>
            </w:r>
            <w:r w:rsidR="00C456D5">
              <w:rPr>
                <w:rFonts w:cs="Times New Roman"/>
                <w:sz w:val="24"/>
                <w:szCs w:val="24"/>
              </w:rPr>
              <w:t>vironmental effects. How, if at </w:t>
            </w:r>
            <w:r w:rsidRPr="00895FEB">
              <w:rPr>
                <w:rFonts w:cs="Times New Roman"/>
                <w:sz w:val="24"/>
                <w:szCs w:val="24"/>
              </w:rPr>
              <w:t>all, should strategic environmental assessment be reflected in Manitoba’s environmental assessment framework?</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5</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How can the legislative framework support more effective regional strategic environmental assessment (“RSEA”)? Options for reform incl</w:t>
            </w:r>
            <w:r w:rsidR="00C456D5">
              <w:rPr>
                <w:rFonts w:cs="Times New Roman"/>
                <w:sz w:val="24"/>
                <w:szCs w:val="24"/>
              </w:rPr>
              <w:t>ude authorizing the minister to </w:t>
            </w:r>
            <w:r w:rsidR="002F5CD0">
              <w:rPr>
                <w:rFonts w:cs="Times New Roman"/>
                <w:sz w:val="24"/>
                <w:szCs w:val="24"/>
              </w:rPr>
              <w:t>require RSEA and </w:t>
            </w:r>
            <w:r w:rsidRPr="00895FEB">
              <w:rPr>
                <w:rFonts w:cs="Times New Roman"/>
                <w:sz w:val="24"/>
                <w:szCs w:val="24"/>
              </w:rPr>
              <w:t>proponent engagement in RSEA processes, maintaining a database of cumulative regional environmental information, developing criteria for the application of RSEA at the individual development level and establishing guidelines for the consistent collection of environmental data.</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B676BE" w:rsidRPr="00F00A18" w:rsidRDefault="00283965" w:rsidP="00B676BE">
      <w:pPr>
        <w:pStyle w:val="Heading2"/>
      </w:pPr>
      <w:bookmarkStart w:id="1" w:name="_GoBack"/>
      <w:bookmarkEnd w:id="1"/>
      <w:r>
        <w:lastRenderedPageBreak/>
        <w:t xml:space="preserve">Chapter 5: </w:t>
      </w:r>
      <w:r w:rsidRPr="00F00A18">
        <w:t>Public Participation</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6</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The Discussion Paper identifies five procedural stages at which public participation might be effective: pre-filing, scoping, review of the environmental assessment report, establishing terms of reference for a public hearing, and post-licensing follow-up. At what stages in the environmental assessment process is public participation most valuable?</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7</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How can the legislative framework strengthen public enga</w:t>
            </w:r>
            <w:r w:rsidR="002F5CD0">
              <w:rPr>
                <w:rFonts w:cs="Times New Roman"/>
                <w:sz w:val="24"/>
                <w:szCs w:val="24"/>
              </w:rPr>
              <w:t>gement in Manitoba? Options for </w:t>
            </w:r>
            <w:r w:rsidRPr="00895FEB">
              <w:rPr>
                <w:rFonts w:cs="Times New Roman"/>
                <w:sz w:val="24"/>
                <w:szCs w:val="24"/>
              </w:rPr>
              <w:t>reform include publishing guidelines on effective public engagement, providing for TAC involvement before public notification, requiring notice to directly affected members of the public, and including appeal information in the public registry. How would these reforms affect your participation in the process?</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895FE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8</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The Discussion Paper identifies several measures for reform that may enhance engagement with First Nations and other Aboriginal groups in the context of environmental assessment and licensing. These include: requiring that the EAP describe how the proposed development will affect First Nations and other Aboriginal groups, recognizing Aboriginal traditional knowledge in the legislation, and publishing best practice guidelines for the collection and use of Aboriginal traditional knowledge. How w</w:t>
            </w:r>
            <w:r w:rsidR="00C456D5">
              <w:rPr>
                <w:rFonts w:cs="Times New Roman"/>
                <w:sz w:val="24"/>
                <w:szCs w:val="24"/>
              </w:rPr>
              <w:t>ould these measures affect your </w:t>
            </w:r>
            <w:r w:rsidRPr="00895FEB">
              <w:rPr>
                <w:rFonts w:cs="Times New Roman"/>
                <w:sz w:val="24"/>
                <w:szCs w:val="24"/>
              </w:rPr>
              <w:t>participation in the environmental assessment process?</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895FEB" w:rsidRDefault="00895FEB" w:rsidP="0078070B">
            <w:pPr>
              <w:keepNext/>
              <w:spacing w:before="100" w:after="100"/>
              <w:rPr>
                <w:rFonts w:cs="Times New Roman"/>
                <w:sz w:val="24"/>
                <w:szCs w:val="24"/>
              </w:rPr>
            </w:pPr>
            <w:r w:rsidRPr="002A3F3B">
              <w:rPr>
                <w:rFonts w:cs="Times New Roman"/>
                <w:b/>
                <w:sz w:val="24"/>
                <w:szCs w:val="24"/>
              </w:rPr>
              <w:lastRenderedPageBreak/>
              <w:t>Is</w:t>
            </w:r>
            <w:r>
              <w:rPr>
                <w:rFonts w:cs="Times New Roman"/>
                <w:b/>
                <w:sz w:val="24"/>
                <w:szCs w:val="24"/>
              </w:rPr>
              <w:t>sue 9</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The Discussion paper identifies four areas of possible reform in connection with the Clean Environment Commission (“CEC”). These are: clarifying the role of CEC experts, formalizing the CEC’s authority to review environmental assessment documents, encouraging a larger variety of CEC proceedings, and clearly distinguishing the regulatory and the hearing processes. How would these reforms affect your participation in the environmental assessment process?</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B676BE" w:rsidRPr="00F00A18" w:rsidRDefault="00283965" w:rsidP="00B676BE">
      <w:pPr>
        <w:pStyle w:val="Heading2"/>
      </w:pPr>
      <w:r>
        <w:t>Chapter 6: Balancing Certainty a</w:t>
      </w:r>
      <w:r w:rsidRPr="00F00A18">
        <w:t>nd Flexibility</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10</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The Discussion Paper identifies a need for more concrete rules and criteria in the legislation. What aspects of Manitoba’s environmental assessment and licensing regime are most in need of clearer legislative criteria?</w:t>
            </w:r>
            <w:r w:rsidR="00C456D5">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895FE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11</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What are the most important factors in a significance dete</w:t>
            </w:r>
            <w:r w:rsidR="002F5CD0">
              <w:rPr>
                <w:rFonts w:cs="Times New Roman"/>
                <w:sz w:val="24"/>
                <w:szCs w:val="24"/>
              </w:rPr>
              <w:t>rmination? Should proponents be </w:t>
            </w:r>
            <w:r w:rsidRPr="00895FEB">
              <w:rPr>
                <w:rFonts w:cs="Times New Roman"/>
                <w:sz w:val="24"/>
                <w:szCs w:val="24"/>
              </w:rPr>
              <w:t>required to explain their significance determinations with reference to published guidelines, distinguishing between pre-mitigation and residual effects?</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895FE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12</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Written reasons for decision can enhance process certainty and fulfill the objectives of public participation and transparency. What environmental assessment and licensing decisions should be supported by written reasons?</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B676BE" w:rsidRDefault="00283965" w:rsidP="00B676BE">
      <w:pPr>
        <w:pStyle w:val="Heading2"/>
      </w:pPr>
      <w:r>
        <w:lastRenderedPageBreak/>
        <w:t xml:space="preserve">Chapter 7: Specific Procedural Steps </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13</w:t>
            </w:r>
            <w:r w:rsidRPr="002A3F3B">
              <w:rPr>
                <w:rFonts w:cs="Times New Roman"/>
                <w:b/>
                <w:sz w:val="24"/>
                <w:szCs w:val="24"/>
              </w:rPr>
              <w:t>:</w:t>
            </w:r>
            <w:r w:rsidRPr="002A3F3B">
              <w:rPr>
                <w:rFonts w:cs="Times New Roman"/>
                <w:sz w:val="24"/>
                <w:szCs w:val="24"/>
              </w:rPr>
              <w:t xml:space="preserve"> </w:t>
            </w:r>
            <w:r w:rsidRPr="00895FEB">
              <w:rPr>
                <w:rFonts w:cs="Times New Roman"/>
                <w:sz w:val="24"/>
                <w:szCs w:val="24"/>
              </w:rPr>
              <w:t xml:space="preserve">Should the Act expressly provide the minister with authority to require environmental assessment of an activity not contemplated in the </w:t>
            </w:r>
            <w:r w:rsidRPr="00623D30">
              <w:rPr>
                <w:rFonts w:cs="Times New Roman"/>
                <w:i/>
                <w:sz w:val="24"/>
                <w:szCs w:val="24"/>
              </w:rPr>
              <w:t>Classes of Development Regulation</w:t>
            </w:r>
            <w:r w:rsidRPr="00895FEB">
              <w:rPr>
                <w:rFonts w:cs="Times New Roman"/>
                <w:sz w:val="24"/>
                <w:szCs w:val="24"/>
              </w:rPr>
              <w:t>? What factors should guide this exercise of discretion?</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2A3F3B" w:rsidRDefault="00895FEB" w:rsidP="0078070B">
            <w:pPr>
              <w:keepNext/>
              <w:spacing w:before="100" w:after="100"/>
              <w:rPr>
                <w:rFonts w:cs="Times New Roman"/>
                <w:sz w:val="24"/>
                <w:szCs w:val="24"/>
              </w:rPr>
            </w:pPr>
            <w:r w:rsidRPr="002A3F3B">
              <w:rPr>
                <w:rFonts w:cs="Times New Roman"/>
                <w:b/>
                <w:sz w:val="24"/>
                <w:szCs w:val="24"/>
              </w:rPr>
              <w:t>Is</w:t>
            </w:r>
            <w:r w:rsidR="00623D30">
              <w:rPr>
                <w:rFonts w:cs="Times New Roman"/>
                <w:b/>
                <w:sz w:val="24"/>
                <w:szCs w:val="24"/>
              </w:rPr>
              <w:t>sue 14</w:t>
            </w:r>
            <w:r w:rsidRPr="002A3F3B">
              <w:rPr>
                <w:rFonts w:cs="Times New Roman"/>
                <w:b/>
                <w:sz w:val="24"/>
                <w:szCs w:val="24"/>
              </w:rPr>
              <w:t>:</w:t>
            </w:r>
            <w:r w:rsidRPr="002A3F3B">
              <w:rPr>
                <w:rFonts w:cs="Times New Roman"/>
                <w:sz w:val="24"/>
                <w:szCs w:val="24"/>
              </w:rPr>
              <w:t xml:space="preserve"> </w:t>
            </w:r>
            <w:r w:rsidR="00623D30" w:rsidRPr="00623D30">
              <w:rPr>
                <w:rFonts w:cs="Times New Roman"/>
                <w:sz w:val="24"/>
                <w:szCs w:val="24"/>
              </w:rPr>
              <w:t>Should unlicensed activities, and those licensed under other</w:t>
            </w:r>
            <w:r w:rsidR="002F5CD0">
              <w:rPr>
                <w:rFonts w:cs="Times New Roman"/>
                <w:sz w:val="24"/>
                <w:szCs w:val="24"/>
              </w:rPr>
              <w:t xml:space="preserve"> regulatory regimes, be brought </w:t>
            </w:r>
            <w:r w:rsidR="00623D30" w:rsidRPr="00623D30">
              <w:rPr>
                <w:rFonts w:cs="Times New Roman"/>
                <w:sz w:val="24"/>
                <w:szCs w:val="24"/>
              </w:rPr>
              <w:t xml:space="preserve">into the environmental assessment process established under </w:t>
            </w:r>
            <w:r w:rsidR="00623D30" w:rsidRPr="0019465C">
              <w:rPr>
                <w:rFonts w:cs="Times New Roman"/>
                <w:i/>
                <w:sz w:val="24"/>
                <w:szCs w:val="24"/>
              </w:rPr>
              <w:t>The Environment Act</w:t>
            </w:r>
            <w:r w:rsidR="00623D30" w:rsidRPr="00623D30">
              <w:rPr>
                <w:rFonts w:cs="Times New Roman"/>
                <w:sz w:val="24"/>
                <w:szCs w:val="24"/>
              </w:rPr>
              <w:t>? Are there activities that should not be subject to environmental assessment under the Act?</w:t>
            </w:r>
            <w:r w:rsidRPr="002A3F3B">
              <w:rPr>
                <w:rFonts w:cs="Times New Roman"/>
                <w:sz w:val="24"/>
                <w:szCs w:val="24"/>
              </w:rPr>
              <w:t xml:space="preserve">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623D30" w:rsidRDefault="00895FEB" w:rsidP="0078070B">
            <w:pPr>
              <w:keepNext/>
              <w:spacing w:before="100" w:after="100"/>
              <w:rPr>
                <w:rFonts w:cs="Times New Roman"/>
                <w:sz w:val="24"/>
                <w:szCs w:val="24"/>
              </w:rPr>
            </w:pPr>
            <w:r w:rsidRPr="002A3F3B">
              <w:rPr>
                <w:rFonts w:cs="Times New Roman"/>
                <w:b/>
                <w:sz w:val="24"/>
                <w:szCs w:val="24"/>
              </w:rPr>
              <w:t>Is</w:t>
            </w:r>
            <w:r w:rsidR="00623D30">
              <w:rPr>
                <w:rFonts w:cs="Times New Roman"/>
                <w:b/>
                <w:sz w:val="24"/>
                <w:szCs w:val="24"/>
              </w:rPr>
              <w:t>sue 15</w:t>
            </w:r>
            <w:r w:rsidRPr="002A3F3B">
              <w:rPr>
                <w:rFonts w:cs="Times New Roman"/>
                <w:b/>
                <w:sz w:val="24"/>
                <w:szCs w:val="24"/>
              </w:rPr>
              <w:t>:</w:t>
            </w:r>
            <w:r w:rsidRPr="002A3F3B">
              <w:rPr>
                <w:rFonts w:cs="Times New Roman"/>
                <w:sz w:val="24"/>
                <w:szCs w:val="24"/>
              </w:rPr>
              <w:t xml:space="preserve"> </w:t>
            </w:r>
            <w:r w:rsidR="00623D30" w:rsidRPr="00623D30">
              <w:rPr>
                <w:rFonts w:cs="Times New Roman"/>
                <w:sz w:val="24"/>
                <w:szCs w:val="24"/>
              </w:rPr>
              <w:t>Should the Act allow for staged licensing? In what circumstances is staged licensing useful? What provisions are needed to ensure that all aspects of a development and their aggregate effects are adequately addressed in the environmental assessment process?</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895FEB" w:rsidRDefault="00895FEB" w:rsidP="00895FEB">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895FEB" w:rsidRPr="002A3F3B">
        <w:tc>
          <w:tcPr>
            <w:tcW w:w="9945" w:type="dxa"/>
            <w:shd w:val="clear" w:color="auto" w:fill="E6E6E6"/>
          </w:tcPr>
          <w:p w:rsidR="00895FEB" w:rsidRPr="00623D30" w:rsidRDefault="00895FEB" w:rsidP="0078070B">
            <w:pPr>
              <w:keepNext/>
              <w:spacing w:before="100" w:after="100"/>
              <w:rPr>
                <w:rFonts w:cs="Times New Roman"/>
                <w:sz w:val="24"/>
                <w:szCs w:val="24"/>
              </w:rPr>
            </w:pPr>
            <w:r w:rsidRPr="002A3F3B">
              <w:rPr>
                <w:rFonts w:cs="Times New Roman"/>
                <w:b/>
                <w:sz w:val="24"/>
                <w:szCs w:val="24"/>
              </w:rPr>
              <w:t>Is</w:t>
            </w:r>
            <w:r w:rsidR="00623D30">
              <w:rPr>
                <w:rFonts w:cs="Times New Roman"/>
                <w:b/>
                <w:sz w:val="24"/>
                <w:szCs w:val="24"/>
              </w:rPr>
              <w:t>sue 16</w:t>
            </w:r>
            <w:r w:rsidRPr="002A3F3B">
              <w:rPr>
                <w:rFonts w:cs="Times New Roman"/>
                <w:b/>
                <w:sz w:val="24"/>
                <w:szCs w:val="24"/>
              </w:rPr>
              <w:t>:</w:t>
            </w:r>
            <w:r w:rsidRPr="002A3F3B">
              <w:rPr>
                <w:rFonts w:cs="Times New Roman"/>
                <w:sz w:val="24"/>
                <w:szCs w:val="24"/>
              </w:rPr>
              <w:t xml:space="preserve"> </w:t>
            </w:r>
            <w:r w:rsidR="00623D30" w:rsidRPr="00623D30">
              <w:rPr>
                <w:rFonts w:cs="Times New Roman"/>
                <w:sz w:val="24"/>
                <w:szCs w:val="24"/>
              </w:rPr>
              <w:t xml:space="preserve">How effective is the scheme for determining levels of assessment established by </w:t>
            </w:r>
            <w:r w:rsidR="00C456D5">
              <w:rPr>
                <w:rFonts w:cs="Times New Roman"/>
                <w:i/>
                <w:sz w:val="24"/>
                <w:szCs w:val="24"/>
              </w:rPr>
              <w:t>The </w:t>
            </w:r>
            <w:r w:rsidR="00623D30" w:rsidRPr="00623D30">
              <w:rPr>
                <w:rFonts w:cs="Times New Roman"/>
                <w:i/>
                <w:sz w:val="24"/>
                <w:szCs w:val="24"/>
              </w:rPr>
              <w:t xml:space="preserve">Environment Act </w:t>
            </w:r>
            <w:r w:rsidR="00623D30" w:rsidRPr="0019465C">
              <w:rPr>
                <w:rFonts w:cs="Times New Roman"/>
                <w:sz w:val="24"/>
                <w:szCs w:val="24"/>
              </w:rPr>
              <w:t>and</w:t>
            </w:r>
            <w:r w:rsidR="00623D30" w:rsidRPr="00623D30">
              <w:rPr>
                <w:rFonts w:cs="Times New Roman"/>
                <w:i/>
                <w:sz w:val="24"/>
                <w:szCs w:val="24"/>
              </w:rPr>
              <w:t xml:space="preserve"> Classes of Development Regulation</w:t>
            </w:r>
            <w:r w:rsidR="00623D30" w:rsidRPr="00623D30">
              <w:rPr>
                <w:rFonts w:cs="Times New Roman"/>
                <w:sz w:val="24"/>
                <w:szCs w:val="24"/>
              </w:rPr>
              <w:t>? A</w:t>
            </w:r>
            <w:r w:rsidR="002F5CD0">
              <w:rPr>
                <w:rFonts w:cs="Times New Roman"/>
                <w:sz w:val="24"/>
                <w:szCs w:val="24"/>
              </w:rPr>
              <w:t xml:space="preserve">re you in favour of a system of </w:t>
            </w:r>
            <w:r w:rsidR="00623D30" w:rsidRPr="00623D30">
              <w:rPr>
                <w:rFonts w:cs="Times New Roman"/>
                <w:sz w:val="24"/>
                <w:szCs w:val="24"/>
              </w:rPr>
              <w:t xml:space="preserve">basic notification for some or all proposed developments to aid in early, open and interactive scoping? </w:t>
            </w:r>
          </w:p>
        </w:tc>
      </w:tr>
      <w:tr w:rsidR="00895FEB" w:rsidRPr="002A3F3B">
        <w:trPr>
          <w:trHeight w:val="1800"/>
        </w:trPr>
        <w:tc>
          <w:tcPr>
            <w:tcW w:w="9945" w:type="dxa"/>
          </w:tcPr>
          <w:p w:rsidR="00895FEB" w:rsidRPr="002A3F3B" w:rsidRDefault="00895FEB"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623D30" w:rsidRDefault="00623D30" w:rsidP="00623D30">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623D30" w:rsidRPr="002A3F3B">
        <w:tc>
          <w:tcPr>
            <w:tcW w:w="9945" w:type="dxa"/>
            <w:shd w:val="clear" w:color="auto" w:fill="E6E6E6"/>
          </w:tcPr>
          <w:p w:rsidR="00623D30" w:rsidRPr="00623D30" w:rsidRDefault="00623D30" w:rsidP="0078070B">
            <w:pPr>
              <w:keepNext/>
              <w:spacing w:before="100" w:after="100"/>
              <w:rPr>
                <w:rFonts w:cs="Times New Roman"/>
                <w:sz w:val="24"/>
                <w:szCs w:val="24"/>
              </w:rPr>
            </w:pPr>
            <w:r w:rsidRPr="002A3F3B">
              <w:rPr>
                <w:rFonts w:cs="Times New Roman"/>
                <w:b/>
                <w:sz w:val="24"/>
                <w:szCs w:val="24"/>
              </w:rPr>
              <w:lastRenderedPageBreak/>
              <w:t>Is</w:t>
            </w:r>
            <w:r>
              <w:rPr>
                <w:rFonts w:cs="Times New Roman"/>
                <w:b/>
                <w:sz w:val="24"/>
                <w:szCs w:val="24"/>
              </w:rPr>
              <w:t>sue 17</w:t>
            </w:r>
            <w:r w:rsidRPr="002A3F3B">
              <w:rPr>
                <w:rFonts w:cs="Times New Roman"/>
                <w:b/>
                <w:sz w:val="24"/>
                <w:szCs w:val="24"/>
              </w:rPr>
              <w:t>:</w:t>
            </w:r>
            <w:r w:rsidRPr="002A3F3B">
              <w:rPr>
                <w:rFonts w:cs="Times New Roman"/>
                <w:sz w:val="24"/>
                <w:szCs w:val="24"/>
              </w:rPr>
              <w:t xml:space="preserve"> </w:t>
            </w:r>
            <w:r w:rsidRPr="00623D30">
              <w:rPr>
                <w:rFonts w:cs="Times New Roman"/>
                <w:sz w:val="24"/>
                <w:szCs w:val="24"/>
              </w:rPr>
              <w:t>What improvements might be made to Manitoba’s system for statutory appeals? Options for reform include prescribed time frames for decisio</w:t>
            </w:r>
            <w:r w:rsidR="00C456D5">
              <w:rPr>
                <w:rFonts w:cs="Times New Roman"/>
                <w:sz w:val="24"/>
                <w:szCs w:val="24"/>
              </w:rPr>
              <w:t>n-making and the involvement of </w:t>
            </w:r>
            <w:r w:rsidR="002F5CD0">
              <w:rPr>
                <w:rFonts w:cs="Times New Roman"/>
                <w:sz w:val="24"/>
                <w:szCs w:val="24"/>
              </w:rPr>
              <w:t>standing or ad </w:t>
            </w:r>
            <w:r w:rsidRPr="00623D30">
              <w:rPr>
                <w:rFonts w:cs="Times New Roman"/>
                <w:sz w:val="24"/>
                <w:szCs w:val="24"/>
              </w:rPr>
              <w:t>hoc appeal panels.</w:t>
            </w:r>
          </w:p>
        </w:tc>
      </w:tr>
      <w:tr w:rsidR="00623D30" w:rsidRPr="002A3F3B">
        <w:trPr>
          <w:trHeight w:val="1800"/>
        </w:trPr>
        <w:tc>
          <w:tcPr>
            <w:tcW w:w="9945" w:type="dxa"/>
          </w:tcPr>
          <w:p w:rsidR="00623D30" w:rsidRPr="002A3F3B" w:rsidRDefault="00623D30"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623D30" w:rsidRDefault="00623D30" w:rsidP="00623D30">
      <w:pPr>
        <w:pStyle w:val="small"/>
      </w:pP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623D30" w:rsidRPr="002A3F3B">
        <w:tc>
          <w:tcPr>
            <w:tcW w:w="9945" w:type="dxa"/>
            <w:shd w:val="clear" w:color="auto" w:fill="E6E6E6"/>
          </w:tcPr>
          <w:p w:rsidR="00623D30" w:rsidRPr="00623D30" w:rsidRDefault="00623D30" w:rsidP="0078070B">
            <w:pPr>
              <w:keepNext/>
              <w:spacing w:before="100" w:after="100"/>
              <w:rPr>
                <w:rFonts w:cs="Times New Roman"/>
                <w:sz w:val="24"/>
                <w:szCs w:val="24"/>
              </w:rPr>
            </w:pPr>
            <w:r w:rsidRPr="002A3F3B">
              <w:rPr>
                <w:rFonts w:cs="Times New Roman"/>
                <w:b/>
                <w:sz w:val="24"/>
                <w:szCs w:val="24"/>
              </w:rPr>
              <w:t>Is</w:t>
            </w:r>
            <w:r>
              <w:rPr>
                <w:rFonts w:cs="Times New Roman"/>
                <w:b/>
                <w:sz w:val="24"/>
                <w:szCs w:val="24"/>
              </w:rPr>
              <w:t>sue 18</w:t>
            </w:r>
            <w:r w:rsidRPr="002A3F3B">
              <w:rPr>
                <w:rFonts w:cs="Times New Roman"/>
                <w:b/>
                <w:sz w:val="24"/>
                <w:szCs w:val="24"/>
              </w:rPr>
              <w:t>:</w:t>
            </w:r>
            <w:r w:rsidRPr="002A3F3B">
              <w:rPr>
                <w:rFonts w:cs="Times New Roman"/>
                <w:sz w:val="24"/>
                <w:szCs w:val="24"/>
              </w:rPr>
              <w:t xml:space="preserve"> </w:t>
            </w:r>
            <w:r w:rsidRPr="00623D30">
              <w:rPr>
                <w:rFonts w:cs="Times New Roman"/>
                <w:sz w:val="24"/>
                <w:szCs w:val="24"/>
              </w:rPr>
              <w:t xml:space="preserve">What changes to </w:t>
            </w:r>
            <w:r w:rsidRPr="00623D30">
              <w:rPr>
                <w:rFonts w:cs="Times New Roman"/>
                <w:i/>
                <w:sz w:val="24"/>
                <w:szCs w:val="24"/>
              </w:rPr>
              <w:t>The Environment Act</w:t>
            </w:r>
            <w:r w:rsidRPr="00623D30">
              <w:rPr>
                <w:rFonts w:cs="Times New Roman"/>
                <w:sz w:val="24"/>
                <w:szCs w:val="24"/>
              </w:rPr>
              <w:t xml:space="preserve"> might help to improve compliance and enforcement? Options for reform include mandatory monitoring and publication of monitoring information, the power to order audits, routine program evaluations and enhanced enforcement techniques.</w:t>
            </w:r>
          </w:p>
        </w:tc>
      </w:tr>
      <w:tr w:rsidR="00623D30" w:rsidRPr="002A3F3B">
        <w:trPr>
          <w:trHeight w:val="1800"/>
        </w:trPr>
        <w:tc>
          <w:tcPr>
            <w:tcW w:w="9945" w:type="dxa"/>
          </w:tcPr>
          <w:p w:rsidR="00623D30" w:rsidRPr="002A3F3B" w:rsidRDefault="00623D30"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623D30" w:rsidRDefault="00283965" w:rsidP="00623D30">
      <w:pPr>
        <w:pStyle w:val="Heading2"/>
      </w:pPr>
      <w:r w:rsidRPr="000B18B0">
        <w:t>Additional Comments</w:t>
      </w:r>
      <w:r>
        <w:t xml:space="preserve"> </w:t>
      </w:r>
    </w:p>
    <w:tbl>
      <w:tblPr>
        <w:tblStyle w:val="TableGrid"/>
        <w:tblW w:w="0" w:type="auto"/>
        <w:tblInd w:w="1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945"/>
      </w:tblGrid>
      <w:tr w:rsidR="00623D30" w:rsidRPr="002A3F3B">
        <w:tc>
          <w:tcPr>
            <w:tcW w:w="9945" w:type="dxa"/>
            <w:shd w:val="clear" w:color="auto" w:fill="E6E6E6"/>
          </w:tcPr>
          <w:p w:rsidR="00623D30" w:rsidRPr="00623D30" w:rsidRDefault="00623D30" w:rsidP="0078070B">
            <w:pPr>
              <w:keepNext/>
              <w:spacing w:before="100" w:after="100"/>
              <w:rPr>
                <w:rFonts w:cs="Times New Roman"/>
                <w:sz w:val="24"/>
                <w:szCs w:val="24"/>
              </w:rPr>
            </w:pPr>
            <w:r w:rsidRPr="00623D30">
              <w:rPr>
                <w:rFonts w:cs="Times New Roman"/>
                <w:sz w:val="24"/>
                <w:szCs w:val="24"/>
              </w:rPr>
              <w:t xml:space="preserve">Please identify any additional issues relevant to the reform of Manitoba’s environmental assessment and licensing regime. </w:t>
            </w:r>
          </w:p>
        </w:tc>
      </w:tr>
      <w:tr w:rsidR="00623D30" w:rsidRPr="002A3F3B">
        <w:trPr>
          <w:trHeight w:val="1800"/>
        </w:trPr>
        <w:tc>
          <w:tcPr>
            <w:tcW w:w="9945" w:type="dxa"/>
          </w:tcPr>
          <w:p w:rsidR="00623D30" w:rsidRPr="002A3F3B" w:rsidRDefault="00623D30" w:rsidP="002A3F3B">
            <w:pPr>
              <w:spacing w:before="100" w:after="100"/>
              <w:rPr>
                <w:rFonts w:cs="Times New Roman"/>
                <w:sz w:val="24"/>
                <w:szCs w:val="24"/>
              </w:rPr>
            </w:pPr>
            <w:r w:rsidRPr="002A3F3B">
              <w:rPr>
                <w:rFonts w:cs="Times New Roman"/>
                <w:b/>
                <w:sz w:val="24"/>
                <w:szCs w:val="24"/>
              </w:rPr>
              <w:t>Answer:</w:t>
            </w:r>
            <w:r>
              <w:rPr>
                <w:rFonts w:cs="Times New Roman"/>
                <w:sz w:val="24"/>
                <w:szCs w:val="24"/>
              </w:rPr>
              <w:t xml:space="preserve"> </w:t>
            </w:r>
            <w:r w:rsidR="00073F45">
              <w:rPr>
                <w:rFonts w:cs="Times New Roman"/>
                <w:szCs w:val="24"/>
              </w:rPr>
              <w:fldChar w:fldCharType="begin">
                <w:ffData>
                  <w:name w:val="Text1"/>
                  <w:enabled/>
                  <w:calcOnExit w:val="0"/>
                  <w:textInput/>
                </w:ffData>
              </w:fldChar>
            </w:r>
            <w:r>
              <w:rPr>
                <w:rFonts w:cs="Times New Roman"/>
                <w:sz w:val="24"/>
                <w:szCs w:val="24"/>
              </w:rPr>
              <w:instrText xml:space="preserve"> FORMTEXT </w:instrText>
            </w:r>
            <w:r w:rsidR="00073F45">
              <w:rPr>
                <w:rFonts w:cs="Times New Roman"/>
                <w:szCs w:val="24"/>
              </w:rPr>
            </w:r>
            <w:r w:rsidR="00073F45">
              <w:rPr>
                <w:rFonts w:cs="Times New Roman"/>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073F45">
              <w:rPr>
                <w:rFonts w:cs="Times New Roman"/>
                <w:szCs w:val="24"/>
              </w:rPr>
              <w:fldChar w:fldCharType="end"/>
            </w:r>
          </w:p>
        </w:tc>
      </w:tr>
    </w:tbl>
    <w:p w:rsidR="000B18B0" w:rsidRDefault="000B18B0"/>
    <w:sectPr w:rsidR="000B18B0" w:rsidSect="00597E6B">
      <w:footerReference w:type="default" r:id="rId8"/>
      <w:footerReference w:type="first" r:id="rId9"/>
      <w:pgSz w:w="12240" w:h="15840"/>
      <w:pgMar w:top="1152" w:right="1152" w:bottom="1152"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45" w:rsidRDefault="00073F45" w:rsidP="00073F45">
      <w:pPr>
        <w:spacing w:after="0" w:line="240" w:lineRule="auto"/>
      </w:pPr>
      <w:r>
        <w:separator/>
      </w:r>
    </w:p>
  </w:endnote>
  <w:endnote w:type="continuationSeparator" w:id="0">
    <w:p w:rsidR="00073F45" w:rsidRDefault="00073F45" w:rsidP="0007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268"/>
      <w:docPartObj>
        <w:docPartGallery w:val="Page Numbers (Bottom of Page)"/>
        <w:docPartUnique/>
      </w:docPartObj>
    </w:sdtPr>
    <w:sdtContent>
      <w:p w:rsidR="00437F4D" w:rsidRDefault="00437F4D" w:rsidP="00597E6B">
        <w:pPr>
          <w:pStyle w:val="Footer"/>
          <w:pBdr>
            <w:top w:val="single" w:sz="4" w:space="1" w:color="808080" w:themeColor="background1" w:themeShade="80"/>
          </w:pBdr>
          <w:tabs>
            <w:tab w:val="clear" w:pos="9360"/>
            <w:tab w:val="right" w:pos="9963"/>
          </w:tabs>
        </w:pPr>
        <w:r w:rsidRPr="007C7F19">
          <w:t xml:space="preserve">Discussion Paper: Manitoba’s Environmental Assessment and Licensing Regime </w:t>
        </w:r>
        <w:r>
          <w:t>– Comments Form</w:t>
        </w:r>
        <w:r w:rsidRPr="007C7F19">
          <w:tab/>
        </w:r>
        <w:fldSimple w:instr=" PAGE   \* MERGEFORMAT ">
          <w:r w:rsidR="00B21601">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81"/>
      <w:docPartObj>
        <w:docPartGallery w:val="Page Numbers (Bottom of Page)"/>
        <w:docPartUnique/>
      </w:docPartObj>
    </w:sdtPr>
    <w:sdtContent>
      <w:p w:rsidR="00437F4D" w:rsidRDefault="00437F4D" w:rsidP="002F5CD0">
        <w:pPr>
          <w:pStyle w:val="Footer"/>
          <w:pBdr>
            <w:top w:val="single" w:sz="4" w:space="1" w:color="808080" w:themeColor="background1" w:themeShade="80"/>
          </w:pBdr>
          <w:tabs>
            <w:tab w:val="clear" w:pos="9360"/>
            <w:tab w:val="right" w:pos="9945"/>
          </w:tabs>
        </w:pPr>
        <w:r>
          <w:tab/>
        </w:r>
        <w:r w:rsidRPr="007C7F19">
          <w:tab/>
        </w:r>
        <w:fldSimple w:instr=" PAGE   \* MERGEFORMAT ">
          <w:r w:rsidR="00B2160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45" w:rsidRDefault="00073F45" w:rsidP="00073F45">
      <w:pPr>
        <w:spacing w:after="0" w:line="240" w:lineRule="auto"/>
      </w:pPr>
      <w:r>
        <w:separator/>
      </w:r>
    </w:p>
  </w:footnote>
  <w:footnote w:type="continuationSeparator" w:id="0">
    <w:p w:rsidR="00073F45" w:rsidRDefault="00073F45" w:rsidP="00073F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cumentProtection w:edit="forms" w:enforcement="1" w:cryptProviderType="rsaFull" w:cryptAlgorithmClass="hash" w:cryptAlgorithmType="typeAny" w:cryptAlgorithmSid="4" w:cryptSpinCount="50000" w:hash="h9yBQr40+rGs3lQGp8SI8qKI3Z4=" w:salt="ieqFAQ6LKSj6y6l3M8oAcQ=="/>
  <w:defaultTabStop w:val="720"/>
  <w:characterSpacingControl w:val="doNotCompress"/>
  <w:hdrShapeDefaults>
    <o:shapedefaults v:ext="edit" spidmax="4097">
      <o:colormru v:ext="edit" colors="#597b7b"/>
    </o:shapedefaults>
  </w:hdrShapeDefaults>
  <w:footnotePr>
    <w:footnote w:id="-1"/>
    <w:footnote w:id="0"/>
  </w:footnotePr>
  <w:endnotePr>
    <w:endnote w:id="-1"/>
    <w:endnote w:id="0"/>
  </w:endnotePr>
  <w:compat/>
  <w:rsids>
    <w:rsidRoot w:val="00B676BE"/>
    <w:rsid w:val="00073F45"/>
    <w:rsid w:val="000B18B0"/>
    <w:rsid w:val="0019465C"/>
    <w:rsid w:val="001C2CD8"/>
    <w:rsid w:val="002502C6"/>
    <w:rsid w:val="00283965"/>
    <w:rsid w:val="002A3F3B"/>
    <w:rsid w:val="002B0EAC"/>
    <w:rsid w:val="002F5CD0"/>
    <w:rsid w:val="00325CEB"/>
    <w:rsid w:val="00437F4D"/>
    <w:rsid w:val="00597E6B"/>
    <w:rsid w:val="005A75DC"/>
    <w:rsid w:val="005B6CE0"/>
    <w:rsid w:val="00623D30"/>
    <w:rsid w:val="006612A7"/>
    <w:rsid w:val="0078070B"/>
    <w:rsid w:val="007A1266"/>
    <w:rsid w:val="007C7F19"/>
    <w:rsid w:val="00804E30"/>
    <w:rsid w:val="00856C67"/>
    <w:rsid w:val="00895FEB"/>
    <w:rsid w:val="008C09CE"/>
    <w:rsid w:val="00907A97"/>
    <w:rsid w:val="009428AD"/>
    <w:rsid w:val="009F104D"/>
    <w:rsid w:val="00A13E83"/>
    <w:rsid w:val="00B21601"/>
    <w:rsid w:val="00B676BE"/>
    <w:rsid w:val="00B838DC"/>
    <w:rsid w:val="00C456D5"/>
    <w:rsid w:val="00DA79CC"/>
    <w:rsid w:val="00F05CEC"/>
    <w:rsid w:val="00F63476"/>
    <w:rsid w:val="00FB01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97b7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676BE"/>
    <w:rPr>
      <w:rFonts w:ascii="Times New Roman" w:hAnsi="Times New Roman"/>
      <w:sz w:val="24"/>
    </w:rPr>
  </w:style>
  <w:style w:type="paragraph" w:styleId="Heading1">
    <w:name w:val="heading 1"/>
    <w:basedOn w:val="Normal"/>
    <w:next w:val="Normal"/>
    <w:link w:val="Heading1Char"/>
    <w:rsid w:val="00283965"/>
    <w:pPr>
      <w:keepNext/>
      <w:keepLines/>
      <w:outlineLvl w:val="0"/>
    </w:pPr>
    <w:rPr>
      <w:rFonts w:ascii="Arial" w:eastAsiaTheme="majorEastAsia" w:hAnsi="Arial" w:cstheme="majorBidi"/>
      <w:b/>
      <w:color w:val="597B7B"/>
      <w:sz w:val="25"/>
      <w:szCs w:val="24"/>
    </w:rPr>
  </w:style>
  <w:style w:type="paragraph" w:styleId="Heading2">
    <w:name w:val="heading 2"/>
    <w:basedOn w:val="Normal"/>
    <w:next w:val="Normal"/>
    <w:link w:val="Heading2Char"/>
    <w:rsid w:val="00283965"/>
    <w:pPr>
      <w:keepNext/>
      <w:keepLines/>
      <w:spacing w:before="300" w:after="160"/>
      <w:outlineLvl w:val="1"/>
    </w:pPr>
    <w:rPr>
      <w:rFonts w:ascii="Arial" w:eastAsiaTheme="majorEastAsia" w:hAnsi="Arial" w:cstheme="majorBidi"/>
      <w:b/>
      <w:bCs/>
      <w:color w:val="597B7B"/>
      <w:szCs w:val="24"/>
    </w:rPr>
  </w:style>
  <w:style w:type="paragraph" w:styleId="Heading3">
    <w:name w:val="heading 3"/>
    <w:basedOn w:val="Normal"/>
    <w:next w:val="Normal"/>
    <w:link w:val="Heading3Char"/>
    <w:rsid w:val="00B676BE"/>
    <w:pPr>
      <w:keepNext/>
      <w:keepLines/>
      <w:tabs>
        <w:tab w:val="left" w:pos="360"/>
      </w:tabs>
      <w:spacing w:before="240" w:after="160"/>
      <w:ind w:left="360" w:hanging="36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965"/>
    <w:rPr>
      <w:rFonts w:ascii="Arial" w:eastAsiaTheme="majorEastAsia" w:hAnsi="Arial" w:cstheme="majorBidi"/>
      <w:b/>
      <w:color w:val="597B7B"/>
      <w:sz w:val="25"/>
      <w:szCs w:val="24"/>
    </w:rPr>
  </w:style>
  <w:style w:type="character" w:customStyle="1" w:styleId="Heading2Char">
    <w:name w:val="Heading 2 Char"/>
    <w:basedOn w:val="DefaultParagraphFont"/>
    <w:link w:val="Heading2"/>
    <w:rsid w:val="00283965"/>
    <w:rPr>
      <w:rFonts w:ascii="Arial" w:eastAsiaTheme="majorEastAsia" w:hAnsi="Arial" w:cstheme="majorBidi"/>
      <w:b/>
      <w:bCs/>
      <w:color w:val="597B7B"/>
      <w:sz w:val="24"/>
      <w:szCs w:val="24"/>
    </w:rPr>
  </w:style>
  <w:style w:type="character" w:customStyle="1" w:styleId="Heading3Char">
    <w:name w:val="Heading 3 Char"/>
    <w:basedOn w:val="DefaultParagraphFont"/>
    <w:link w:val="Heading3"/>
    <w:rsid w:val="00B676BE"/>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B676BE"/>
    <w:pPr>
      <w:ind w:left="720"/>
      <w:contextualSpacing/>
    </w:pPr>
  </w:style>
  <w:style w:type="character" w:styleId="Hyperlink">
    <w:name w:val="Hyperlink"/>
    <w:basedOn w:val="DefaultParagraphFont"/>
    <w:uiPriority w:val="99"/>
    <w:unhideWhenUsed/>
    <w:rsid w:val="000B18B0"/>
    <w:rPr>
      <w:color w:val="0000FF" w:themeColor="hyperlink"/>
      <w:u w:val="single"/>
    </w:rPr>
  </w:style>
  <w:style w:type="table" w:styleId="TableGrid">
    <w:name w:val="Table Grid"/>
    <w:basedOn w:val="TableNormal"/>
    <w:uiPriority w:val="59"/>
    <w:rsid w:val="002A3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mall">
    <w:name w:val="small"/>
    <w:rsid w:val="0078070B"/>
    <w:pPr>
      <w:spacing w:after="0"/>
    </w:pPr>
    <w:rPr>
      <w:rFonts w:ascii="Times New Roman" w:hAnsi="Times New Roman"/>
      <w:sz w:val="24"/>
    </w:rPr>
  </w:style>
  <w:style w:type="paragraph" w:styleId="Header">
    <w:name w:val="header"/>
    <w:basedOn w:val="Normal"/>
    <w:link w:val="HeaderChar"/>
    <w:uiPriority w:val="99"/>
    <w:semiHidden/>
    <w:unhideWhenUsed/>
    <w:rsid w:val="007C7F1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C7F19"/>
    <w:rPr>
      <w:rFonts w:ascii="Times New Roman" w:hAnsi="Times New Roman"/>
      <w:sz w:val="24"/>
    </w:rPr>
  </w:style>
  <w:style w:type="paragraph" w:styleId="Footer">
    <w:name w:val="footer"/>
    <w:basedOn w:val="Normal"/>
    <w:link w:val="FooterChar"/>
    <w:uiPriority w:val="99"/>
    <w:unhideWhenUsed/>
    <w:rsid w:val="007C7F19"/>
    <w:pPr>
      <w:pBdr>
        <w:top w:val="single" w:sz="4" w:space="1" w:color="A6A6A6" w:themeColor="background1" w:themeShade="A6"/>
      </w:pBdr>
      <w:tabs>
        <w:tab w:val="center" w:pos="4320"/>
        <w:tab w:val="right" w:pos="9360"/>
      </w:tabs>
      <w:spacing w:after="0" w:line="240" w:lineRule="auto"/>
    </w:pPr>
    <w:rPr>
      <w:sz w:val="20"/>
    </w:rPr>
  </w:style>
  <w:style w:type="character" w:customStyle="1" w:styleId="FooterChar">
    <w:name w:val="Footer Char"/>
    <w:basedOn w:val="DefaultParagraphFont"/>
    <w:link w:val="Footer"/>
    <w:uiPriority w:val="99"/>
    <w:rsid w:val="007C7F19"/>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manitobalawrefor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6475</Characters>
  <Application>Microsoft Office Word</Application>
  <DocSecurity>4</DocSecurity>
  <Lines>53</Lines>
  <Paragraphs>15</Paragraphs>
  <ScaleCrop>false</ScaleCrop>
  <Company>Government of Manitoba</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CSkinner</cp:lastModifiedBy>
  <cp:revision>2</cp:revision>
  <dcterms:created xsi:type="dcterms:W3CDTF">2014-01-29T17:25:00Z</dcterms:created>
  <dcterms:modified xsi:type="dcterms:W3CDTF">2014-01-29T17:25:00Z</dcterms:modified>
</cp:coreProperties>
</file>